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Adult Mental Health Services Manager</w:t>
      </w:r>
      <w:r w:rsidDel="00000000" w:rsidR="00000000" w:rsidRPr="00000000">
        <w:drawing>
          <wp:anchor allowOverlap="1" behindDoc="0" distB="0" distT="0" distL="114300" distR="114300" hidden="0" layoutInCell="1" locked="0" relativeHeight="0" simplePos="0">
            <wp:simplePos x="0" y="0"/>
            <wp:positionH relativeFrom="column">
              <wp:posOffset>4845050</wp:posOffset>
            </wp:positionH>
            <wp:positionV relativeFrom="paragraph">
              <wp:posOffset>-527049</wp:posOffset>
            </wp:positionV>
            <wp:extent cx="1060450" cy="1060450"/>
            <wp:effectExtent b="0" l="0" r="0" t="0"/>
            <wp:wrapNone/>
            <wp:docPr id="212670453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060450" cy="1060450"/>
                    </a:xfrm>
                    <a:prstGeom prst="rect"/>
                    <a:ln/>
                  </pic:spPr>
                </pic:pic>
              </a:graphicData>
            </a:graphic>
          </wp:anchor>
        </w:drawing>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b w:val="1"/>
          <w:bCs w:val="1"/>
          <w:rtl w:val="0"/>
        </w:rPr>
        <w:t xml:space="preserve">Location:</w:t>
      </w:r>
      <w:r w:rsidDel="00000000" w:rsidR="00000000" w:rsidRPr="00000000">
        <w:rPr>
          <w:rFonts w:ascii="Arial" w:cs="Arial" w:eastAsia="Arial" w:hAnsi="Arial"/>
          <w:rtl w:val="0"/>
        </w:rPr>
        <w:t xml:space="preserve"> Redcar &amp; Cleveland</w:t>
        <w:br w:type="textWrapping"/>
      </w:r>
      <w:r w:rsidDel="00000000" w:rsidR="00000000" w:rsidRPr="00000000">
        <w:rPr>
          <w:rFonts w:ascii="Arial" w:cs="Arial" w:eastAsia="Arial" w:hAnsi="Arial"/>
          <w:b w:val="1"/>
          <w:bCs w:val="1"/>
          <w:rtl w:val="0"/>
        </w:rPr>
        <w:t xml:space="preserve">Hours:</w:t>
      </w:r>
      <w:r w:rsidDel="00000000" w:rsidR="00000000" w:rsidRPr="00000000">
        <w:rPr>
          <w:rFonts w:ascii="Arial" w:cs="Arial" w:eastAsia="Arial" w:hAnsi="Arial"/>
          <w:rtl w:val="0"/>
        </w:rPr>
        <w:t xml:space="preserve"> 22.5 per week (fixed term to June 2027)</w:t>
        <w:br w:type="textWrapping"/>
      </w:r>
      <w:r w:rsidDel="00000000" w:rsidR="00000000" w:rsidRPr="00000000">
        <w:rPr>
          <w:rFonts w:ascii="Arial" w:cs="Arial" w:eastAsia="Arial" w:hAnsi="Arial"/>
          <w:b w:val="1"/>
          <w:bCs w:val="1"/>
          <w:rtl w:val="0"/>
        </w:rPr>
        <w:t xml:space="preserve">Salary:</w:t>
      </w:r>
      <w:r w:rsidDel="00000000" w:rsidR="00000000" w:rsidRPr="00000000">
        <w:rPr>
          <w:rFonts w:ascii="Arial" w:cs="Arial" w:eastAsia="Arial" w:hAnsi="Arial"/>
          <w:rtl w:val="0"/>
        </w:rPr>
        <w:t xml:space="preserve"> £32,136 pro rata</w:t>
        <w:br w:type="textWrapping"/>
      </w:r>
      <w:r w:rsidDel="00000000" w:rsidR="00000000" w:rsidRPr="00000000">
        <w:rPr>
          <w:rFonts w:ascii="Arial" w:cs="Arial" w:eastAsia="Arial" w:hAnsi="Arial"/>
          <w:b w:val="1"/>
          <w:bCs w:val="1"/>
          <w:rtl w:val="0"/>
        </w:rPr>
        <w:t xml:space="preserve">Reports to:</w:t>
      </w:r>
      <w:r w:rsidDel="00000000" w:rsidR="00000000" w:rsidRPr="00000000">
        <w:rPr>
          <w:rFonts w:ascii="Arial" w:cs="Arial" w:eastAsia="Arial" w:hAnsi="Arial"/>
          <w:rtl w:val="0"/>
        </w:rPr>
        <w:t xml:space="preserve"> Charity Manager</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About The Link Charitable Trust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The Link Charitable Trust (LCT) is a Redcar-based charity supporting children, young people, families and vulnerable adults. We help individuals make positive changes to their lives through a range of emotional, social, and wellbeing services in the heart of the community.</w:t>
      </w:r>
    </w:p>
    <w:p w:rsidR="00000000" w:rsidDel="00000000" w:rsidP="00000000" w:rsidRDefault="00000000" w:rsidRPr="00000000" w14:paraId="00000006">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Role Purpose</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To lead and develop The Link’s Adult Mental Health Service, ensuring it delivers high-quality, person-centred support that promotes positive mental health and wellbeing. The postholder will oversee service delivery, line manage the adult mental health team, ensure safeguarding and clinical standards are met, and help grow the service through effective partnerships, promotion, and evaluation.</w:t>
      </w:r>
    </w:p>
    <w:p w:rsidR="00000000" w:rsidDel="00000000" w:rsidP="00000000" w:rsidRDefault="00000000" w:rsidRPr="00000000" w14:paraId="00000008">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Key Responsibilities</w:t>
      </w:r>
    </w:p>
    <w:p w:rsidR="00000000" w:rsidDel="00000000" w:rsidP="00000000" w:rsidRDefault="00000000" w:rsidRPr="00000000" w14:paraId="00000009">
      <w:pPr>
        <w:rPr>
          <w:rFonts w:ascii="Arial" w:cs="Arial" w:eastAsia="Arial" w:hAnsi="Arial"/>
          <w:b w:val="1"/>
          <w:bCs w:val="1"/>
        </w:rPr>
      </w:pPr>
      <w:r w:rsidDel="00000000" w:rsidR="00000000" w:rsidRPr="00000000">
        <w:rPr>
          <w:rFonts w:ascii="Arial" w:cs="Arial" w:eastAsia="Arial" w:hAnsi="Arial"/>
          <w:b w:val="1"/>
          <w:bCs w:val="1"/>
          <w:rtl w:val="0"/>
        </w:rPr>
        <w:t xml:space="preserve">Service Leadership and Management</w:t>
      </w:r>
    </w:p>
    <w:p w:rsidR="00000000" w:rsidDel="00000000" w:rsidP="00000000" w:rsidRDefault="00000000" w:rsidRPr="00000000" w14:paraId="0000000A">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Lead, coordinate and continually develop the Adult Mental Health Service.</w:t>
      </w:r>
    </w:p>
    <w:p w:rsidR="00000000" w:rsidDel="00000000" w:rsidP="00000000" w:rsidRDefault="00000000" w:rsidRPr="00000000" w14:paraId="0000000B">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Line manage and supervise staff and volunteers, ensuring safe and effective practice.</w:t>
      </w:r>
    </w:p>
    <w:p w:rsidR="00000000" w:rsidDel="00000000" w:rsidP="00000000" w:rsidRDefault="00000000" w:rsidRPr="00000000" w14:paraId="0000000C">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Oversee assessments, referrals and waiting lists to ensure timely access and quality support.</w:t>
      </w:r>
    </w:p>
    <w:p w:rsidR="00000000" w:rsidDel="00000000" w:rsidP="00000000" w:rsidRDefault="00000000" w:rsidRPr="00000000" w14:paraId="0000000D">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Act as the primary contact for Adult Safeguarding and ensure all safeguarding procedures are followed.</w:t>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Ensure accurate case management, data input and record-keeping within agreed systems (e.g. Lamplight).</w:t>
      </w:r>
    </w:p>
    <w:p w:rsidR="00000000" w:rsidDel="00000000" w:rsidP="00000000" w:rsidRDefault="00000000" w:rsidRPr="00000000" w14:paraId="0000000F">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Monitor service performance against KPIs and deadlines, maintaining quality standards and compliance.</w:t>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Support the Charity Manager in developing budgets, monitoring expenditure, and identifying funding opportunities.</w:t>
      </w:r>
    </w:p>
    <w:p w:rsidR="00000000" w:rsidDel="00000000" w:rsidP="00000000" w:rsidRDefault="00000000" w:rsidRPr="00000000" w14:paraId="00000011">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2">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13">
      <w:pPr>
        <w:rPr>
          <w:rFonts w:ascii="Arial" w:cs="Arial" w:eastAsia="Arial" w:hAnsi="Arial"/>
          <w:b w:val="1"/>
          <w:bCs w:val="1"/>
        </w:rPr>
      </w:pPr>
      <w:r w:rsidDel="00000000" w:rsidR="00000000" w:rsidRPr="00000000">
        <w:rPr>
          <w:rFonts w:ascii="Arial" w:cs="Arial" w:eastAsia="Arial" w:hAnsi="Arial"/>
          <w:b w:val="1"/>
          <w:bCs w:val="1"/>
          <w:rtl w:val="0"/>
        </w:rPr>
        <w:t xml:space="preserve">Service Delivery and Direct Support</w:t>
      </w:r>
    </w:p>
    <w:p w:rsidR="00000000" w:rsidDel="00000000" w:rsidP="00000000" w:rsidRDefault="00000000" w:rsidRPr="00000000" w14:paraId="00000014">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Provide assessments (including risk assessments) and short-term 1:1 or group support where appropriate.</w:t>
      </w:r>
    </w:p>
    <w:p w:rsidR="00000000" w:rsidDel="00000000" w:rsidP="00000000" w:rsidRDefault="00000000" w:rsidRPr="00000000" w14:paraId="00000015">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Facilitate and oversee wellbeing groups and activities, encouraging engagement from hard-to-reach adults.</w:t>
      </w:r>
    </w:p>
    <w:p w:rsidR="00000000" w:rsidDel="00000000" w:rsidP="00000000" w:rsidRDefault="00000000" w:rsidRPr="00000000" w14:paraId="00000016">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Support the integration of wellbeing, employment, and social outcomes into individual support plans.</w:t>
      </w:r>
    </w:p>
    <w:p w:rsidR="00000000" w:rsidDel="00000000" w:rsidP="00000000" w:rsidRDefault="00000000" w:rsidRPr="00000000" w14:paraId="00000017">
      <w:pPr>
        <w:numPr>
          <w:ilvl w:val="0"/>
          <w:numId w:val="2"/>
        </w:numPr>
        <w:ind w:left="720" w:hanging="360"/>
        <w:rPr>
          <w:rFonts w:ascii="Arial" w:cs="Arial" w:eastAsia="Arial" w:hAnsi="Arial"/>
        </w:rPr>
      </w:pPr>
      <w:r w:rsidDel="00000000" w:rsidR="00000000" w:rsidRPr="00000000">
        <w:rPr>
          <w:rFonts w:ascii="Arial" w:cs="Arial" w:eastAsia="Arial" w:hAnsi="Arial"/>
          <w:rtl w:val="0"/>
        </w:rPr>
        <w:t xml:space="preserve">Maintain relationships with clients, families and external professionals, attending multi-agency meetings as required.</w:t>
      </w:r>
    </w:p>
    <w:p w:rsidR="00000000" w:rsidDel="00000000" w:rsidP="00000000" w:rsidRDefault="00000000" w:rsidRPr="00000000" w14:paraId="00000018">
      <w:pPr>
        <w:rPr>
          <w:rFonts w:ascii="Arial" w:cs="Arial" w:eastAsia="Arial" w:hAnsi="Arial"/>
          <w:b w:val="1"/>
          <w:bCs w:val="1"/>
        </w:rPr>
      </w:pPr>
      <w:r w:rsidDel="00000000" w:rsidR="00000000" w:rsidRPr="00000000">
        <w:rPr>
          <w:rFonts w:ascii="Arial" w:cs="Arial" w:eastAsia="Arial" w:hAnsi="Arial"/>
          <w:b w:val="1"/>
          <w:bCs w:val="1"/>
          <w:rtl w:val="0"/>
        </w:rPr>
        <w:t xml:space="preserve">Partnerships, Promotion and Development</w:t>
      </w:r>
    </w:p>
    <w:p w:rsidR="00000000" w:rsidDel="00000000" w:rsidP="00000000" w:rsidRDefault="00000000" w:rsidRPr="00000000" w14:paraId="00000019">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Build and maintain links with voluntary, statutory and community organisations to enhance service reach and collaboration.</w:t>
      </w:r>
    </w:p>
    <w:p w:rsidR="00000000" w:rsidDel="00000000" w:rsidP="00000000" w:rsidRDefault="00000000" w:rsidRPr="00000000" w14:paraId="0000001A">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Promote the service through networking, community engagement and partnerships.</w:t>
      </w:r>
    </w:p>
    <w:p w:rsidR="00000000" w:rsidDel="00000000" w:rsidP="00000000" w:rsidRDefault="00000000" w:rsidRPr="00000000" w14:paraId="0000001B">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Research local and national good practice to inform service innovation and improvement.</w:t>
      </w:r>
    </w:p>
    <w:p w:rsidR="00000000" w:rsidDel="00000000" w:rsidP="00000000" w:rsidRDefault="00000000" w:rsidRPr="00000000" w14:paraId="0000001C">
      <w:pPr>
        <w:numPr>
          <w:ilvl w:val="0"/>
          <w:numId w:val="3"/>
        </w:numPr>
        <w:ind w:left="720" w:hanging="360"/>
        <w:rPr>
          <w:rFonts w:ascii="Arial" w:cs="Arial" w:eastAsia="Arial" w:hAnsi="Arial"/>
        </w:rPr>
      </w:pPr>
      <w:r w:rsidDel="00000000" w:rsidR="00000000" w:rsidRPr="00000000">
        <w:rPr>
          <w:rFonts w:ascii="Arial" w:cs="Arial" w:eastAsia="Arial" w:hAnsi="Arial"/>
          <w:rtl w:val="0"/>
        </w:rPr>
        <w:t xml:space="preserve">Contribute to funding bids and grant applications to support sustainability and growth.</w:t>
      </w:r>
    </w:p>
    <w:p w:rsidR="00000000" w:rsidDel="00000000" w:rsidP="00000000" w:rsidRDefault="00000000" w:rsidRPr="00000000" w14:paraId="0000001D">
      <w:pPr>
        <w:rPr>
          <w:rFonts w:ascii="Arial" w:cs="Arial" w:eastAsia="Arial" w:hAnsi="Arial"/>
          <w:b w:val="1"/>
          <w:bCs w:val="1"/>
        </w:rPr>
      </w:pPr>
      <w:r w:rsidDel="00000000" w:rsidR="00000000" w:rsidRPr="00000000">
        <w:rPr>
          <w:rFonts w:ascii="Arial" w:cs="Arial" w:eastAsia="Arial" w:hAnsi="Arial"/>
          <w:b w:val="1"/>
          <w:bCs w:val="1"/>
          <w:rtl w:val="0"/>
        </w:rPr>
        <w:t xml:space="preserve">Monitoring, Evaluation and Reporting</w:t>
      </w:r>
    </w:p>
    <w:p w:rsidR="00000000" w:rsidDel="00000000" w:rsidP="00000000" w:rsidRDefault="00000000" w:rsidRPr="00000000" w14:paraId="0000001E">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Ensure consistent data collection, analysis and reporting to demonstrate impact and inform improvements.</w:t>
      </w:r>
    </w:p>
    <w:p w:rsidR="00000000" w:rsidDel="00000000" w:rsidP="00000000" w:rsidRDefault="00000000" w:rsidRPr="00000000" w14:paraId="0000001F">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Develop and refine outcomes and evaluation tools to evidence success and inform future development.</w:t>
      </w:r>
    </w:p>
    <w:p w:rsidR="00000000" w:rsidDel="00000000" w:rsidP="00000000" w:rsidRDefault="00000000" w:rsidRPr="00000000" w14:paraId="00000020">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Support user involvement and feedback to shape service design and delivery.</w:t>
      </w:r>
    </w:p>
    <w:p w:rsidR="00000000" w:rsidDel="00000000" w:rsidP="00000000" w:rsidRDefault="00000000" w:rsidRPr="00000000" w14:paraId="00000021">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Produce timely reports for funders, partners and internal stakeholders.</w:t>
      </w:r>
    </w:p>
    <w:p w:rsidR="00000000" w:rsidDel="00000000" w:rsidP="00000000" w:rsidRDefault="00000000" w:rsidRPr="00000000" w14:paraId="00000022">
      <w:pPr>
        <w:rPr>
          <w:rFonts w:ascii="Arial" w:cs="Arial" w:eastAsia="Arial" w:hAnsi="Arial"/>
          <w:b w:val="1"/>
          <w:bCs w:val="1"/>
        </w:rPr>
      </w:pPr>
      <w:r w:rsidDel="00000000" w:rsidR="00000000" w:rsidRPr="00000000">
        <w:rPr>
          <w:rFonts w:ascii="Arial" w:cs="Arial" w:eastAsia="Arial" w:hAnsi="Arial"/>
          <w:b w:val="1"/>
          <w:bCs w:val="1"/>
          <w:rtl w:val="0"/>
        </w:rPr>
        <w:t xml:space="preserve">Professional Practice and Governance</w:t>
      </w:r>
    </w:p>
    <w:p w:rsidR="00000000" w:rsidDel="00000000" w:rsidP="00000000" w:rsidRDefault="00000000" w:rsidRPr="00000000" w14:paraId="00000023">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Uphold The Link’s policies and procedures, including Health &amp; Safety, Equality &amp; Diversity, Data Protection and Safeguarding.</w:t>
      </w:r>
    </w:p>
    <w:p w:rsidR="00000000" w:rsidDel="00000000" w:rsidP="00000000" w:rsidRDefault="00000000" w:rsidRPr="00000000" w14:paraId="00000024">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Receive regular management and clinical supervision, engaging in continuous professional development.</w:t>
      </w:r>
    </w:p>
    <w:p w:rsidR="00000000" w:rsidDel="00000000" w:rsidP="00000000" w:rsidRDefault="00000000" w:rsidRPr="00000000" w14:paraId="00000025">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Maintain confidentiality, professionalism, and accurate record keeping at all times.</w:t>
      </w:r>
    </w:p>
    <w:p w:rsidR="00000000" w:rsidDel="00000000" w:rsidP="00000000" w:rsidRDefault="00000000" w:rsidRPr="00000000" w14:paraId="00000026">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Represent The Link positively at all times, ensuring its reputation and values are upheld.</w:t>
      </w:r>
    </w:p>
    <w:p w:rsidR="00000000" w:rsidDel="00000000" w:rsidP="00000000" w:rsidRDefault="00000000" w:rsidRPr="00000000" w14:paraId="00000027">
      <w:pPr>
        <w:numPr>
          <w:ilvl w:val="0"/>
          <w:numId w:val="5"/>
        </w:numPr>
        <w:ind w:left="720" w:hanging="360"/>
        <w:rPr>
          <w:rFonts w:ascii="Arial" w:cs="Arial" w:eastAsia="Arial" w:hAnsi="Arial"/>
        </w:rPr>
      </w:pPr>
      <w:r w:rsidDel="00000000" w:rsidR="00000000" w:rsidRPr="00000000">
        <w:rPr>
          <w:rFonts w:ascii="Arial" w:cs="Arial" w:eastAsia="Arial" w:hAnsi="Arial"/>
          <w:rtl w:val="0"/>
        </w:rPr>
        <w:t xml:space="preserve">Undertake other duties commensurate with the role as required by organisational needs.</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Person Specification (Summary)</w:t>
      </w:r>
    </w:p>
    <w:p w:rsidR="00000000" w:rsidDel="00000000" w:rsidP="00000000" w:rsidRDefault="00000000" w:rsidRPr="00000000" w14:paraId="0000002A">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Proven experience in managing or leading mental health or wellbeing services.</w:t>
      </w:r>
    </w:p>
    <w:p w:rsidR="00000000" w:rsidDel="00000000" w:rsidP="00000000" w:rsidRDefault="00000000" w:rsidRPr="00000000" w14:paraId="0000002B">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Strong understanding of safeguarding, supervision, and quality standards.</w:t>
      </w:r>
    </w:p>
    <w:p w:rsidR="00000000" w:rsidDel="00000000" w:rsidP="00000000" w:rsidRDefault="00000000" w:rsidRPr="00000000" w14:paraId="0000002C">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Excellent interpersonal and leadership skills with a collaborative approach.</w:t>
      </w:r>
    </w:p>
    <w:p w:rsidR="00000000" w:rsidDel="00000000" w:rsidP="00000000" w:rsidRDefault="00000000" w:rsidRPr="00000000" w14:paraId="0000002D">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Experience in partnership working, networking and service promotion.</w:t>
      </w:r>
    </w:p>
    <w:p w:rsidR="00000000" w:rsidDel="00000000" w:rsidP="00000000" w:rsidRDefault="00000000" w:rsidRPr="00000000" w14:paraId="0000002E">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Competent in monitoring, reporting and evaluating service outcomes.</w:t>
      </w:r>
    </w:p>
    <w:p w:rsidR="00000000" w:rsidDel="00000000" w:rsidP="00000000" w:rsidRDefault="00000000" w:rsidRPr="00000000" w14:paraId="0000002F">
      <w:pPr>
        <w:numPr>
          <w:ilvl w:val="0"/>
          <w:numId w:val="6"/>
        </w:numPr>
        <w:ind w:left="720" w:hanging="360"/>
        <w:rPr>
          <w:rFonts w:ascii="Arial" w:cs="Arial" w:eastAsia="Arial" w:hAnsi="Arial"/>
        </w:rPr>
      </w:pPr>
      <w:r w:rsidDel="00000000" w:rsidR="00000000" w:rsidRPr="00000000">
        <w:rPr>
          <w:rFonts w:ascii="Arial" w:cs="Arial" w:eastAsia="Arial" w:hAnsi="Arial"/>
          <w:rtl w:val="0"/>
        </w:rPr>
        <w:t xml:space="preserve">Relevant qualification in mental health, social care or related field (or equivalent experience).</w:t>
      </w:r>
    </w:p>
    <w:p w:rsidR="00000000" w:rsidDel="00000000" w:rsidP="00000000" w:rsidRDefault="00000000" w:rsidRPr="00000000" w14:paraId="00000030">
      <w:pPr>
        <w:rPr>
          <w:rFonts w:ascii="Play" w:cs="Play" w:eastAsia="Play" w:hAnsi="Play"/>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197B6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97B6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97B6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97B6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97B6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197B6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97B6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97B6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97B6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97B6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97B6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97B6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97B6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97B6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97B6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97B61"/>
    <w:rPr>
      <w:i w:val="1"/>
      <w:iCs w:val="1"/>
      <w:color w:val="404040" w:themeColor="text1" w:themeTint="0000BF"/>
    </w:rPr>
  </w:style>
  <w:style w:type="paragraph" w:styleId="ListParagraph">
    <w:name w:val="List Paragraph"/>
    <w:basedOn w:val="Normal"/>
    <w:uiPriority w:val="34"/>
    <w:qFormat w:val="1"/>
    <w:rsid w:val="00197B61"/>
    <w:pPr>
      <w:ind w:left="720"/>
      <w:contextualSpacing w:val="1"/>
    </w:pPr>
  </w:style>
  <w:style w:type="character" w:styleId="IntenseEmphasis">
    <w:name w:val="Intense Emphasis"/>
    <w:basedOn w:val="DefaultParagraphFont"/>
    <w:uiPriority w:val="21"/>
    <w:qFormat w:val="1"/>
    <w:rsid w:val="00197B61"/>
    <w:rPr>
      <w:i w:val="1"/>
      <w:iCs w:val="1"/>
      <w:color w:val="0f4761" w:themeColor="accent1" w:themeShade="0000BF"/>
    </w:rPr>
  </w:style>
  <w:style w:type="paragraph" w:styleId="IntenseQuote">
    <w:name w:val="Intense Quote"/>
    <w:basedOn w:val="Normal"/>
    <w:next w:val="Normal"/>
    <w:link w:val="IntenseQuoteChar"/>
    <w:uiPriority w:val="30"/>
    <w:qFormat w:val="1"/>
    <w:rsid w:val="00197B6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97B61"/>
    <w:rPr>
      <w:i w:val="1"/>
      <w:iCs w:val="1"/>
      <w:color w:val="0f4761" w:themeColor="accent1" w:themeShade="0000BF"/>
    </w:rPr>
  </w:style>
  <w:style w:type="character" w:styleId="IntenseReference">
    <w:name w:val="Intense Reference"/>
    <w:basedOn w:val="DefaultParagraphFont"/>
    <w:uiPriority w:val="32"/>
    <w:qFormat w:val="1"/>
    <w:rsid w:val="00197B61"/>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lY8lzTTWZYV1jSdlQEHQBi92w==">CgMxLjA4AHIhMWZSOGk3SDhjU1YwYUN4N1RsNzI3V2JBZGh5TGdGSkFo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2025-11-17T13:21:00Z</dcterms:created>
  <dc:creator>James Grant</dc:creator>
</cp:coreProperties>
</file>